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6E4DF">
      <w:pPr>
        <w:pStyle w:val="3"/>
        <w:spacing w:before="0" w:beforeAutospacing="0" w:after="0" w:afterAutospacing="0" w:line="560" w:lineRule="exact"/>
        <w:jc w:val="both"/>
        <w:rPr>
          <w:rFonts w:ascii="黑体" w:hAnsi="黑体" w:eastAsia="黑体" w:cs="黑体"/>
          <w:spacing w:val="-6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-6"/>
          <w:kern w:val="2"/>
          <w:sz w:val="32"/>
          <w:szCs w:val="32"/>
          <w:highlight w:val="none"/>
        </w:rPr>
        <w:t>附件1</w:t>
      </w:r>
    </w:p>
    <w:p w14:paraId="770B3BB9">
      <w:pPr>
        <w:pStyle w:val="3"/>
        <w:spacing w:before="0" w:beforeAutospacing="0" w:after="0" w:afterAutospacing="0" w:line="560" w:lineRule="exact"/>
        <w:jc w:val="center"/>
        <w:rPr>
          <w:rFonts w:ascii="微软雅黑" w:hAnsi="微软雅黑" w:eastAsia="微软雅黑" w:cs="微软雅黑"/>
          <w:kern w:val="2"/>
          <w:sz w:val="44"/>
          <w:szCs w:val="44"/>
          <w:highlight w:val="none"/>
        </w:rPr>
      </w:pPr>
    </w:p>
    <w:p w14:paraId="047DE299">
      <w:pPr>
        <w:pStyle w:val="3"/>
        <w:spacing w:before="0" w:beforeAutospacing="0" w:after="0" w:afterAutospacing="0" w:line="560" w:lineRule="exact"/>
        <w:jc w:val="center"/>
        <w:rPr>
          <w:rFonts w:ascii="微软雅黑" w:hAnsi="微软雅黑" w:eastAsia="微软雅黑" w:cs="微软雅黑"/>
          <w:kern w:val="2"/>
          <w:sz w:val="44"/>
          <w:szCs w:val="44"/>
          <w:highlight w:val="none"/>
        </w:rPr>
      </w:pPr>
      <w:r>
        <w:rPr>
          <w:rFonts w:hint="eastAsia" w:ascii="微软雅黑" w:hAnsi="微软雅黑" w:eastAsia="微软雅黑" w:cs="微软雅黑"/>
          <w:kern w:val="2"/>
          <w:sz w:val="44"/>
          <w:szCs w:val="44"/>
          <w:highlight w:val="none"/>
        </w:rPr>
        <w:t>2025年下半年嘉兴电影集团有限公司</w:t>
      </w:r>
    </w:p>
    <w:p w14:paraId="5E0CB1E0">
      <w:pPr>
        <w:pStyle w:val="3"/>
        <w:spacing w:before="0" w:beforeAutospacing="0" w:after="0" w:afterAutospacing="0" w:line="560" w:lineRule="exact"/>
        <w:jc w:val="center"/>
        <w:rPr>
          <w:rFonts w:ascii="微软雅黑" w:hAnsi="微软雅黑" w:eastAsia="微软雅黑" w:cs="微软雅黑"/>
          <w:spacing w:val="-6"/>
          <w:kern w:val="2"/>
          <w:sz w:val="44"/>
          <w:szCs w:val="44"/>
          <w:highlight w:val="none"/>
        </w:rPr>
      </w:pPr>
      <w:r>
        <w:rPr>
          <w:rFonts w:hint="eastAsia" w:ascii="微软雅黑" w:hAnsi="微软雅黑" w:eastAsia="微软雅黑" w:cs="微软雅黑"/>
          <w:kern w:val="2"/>
          <w:sz w:val="44"/>
          <w:szCs w:val="44"/>
          <w:highlight w:val="none"/>
        </w:rPr>
        <w:t>（含下属单位）员工招聘计划表</w:t>
      </w:r>
    </w:p>
    <w:p w14:paraId="425E09D5">
      <w:pPr>
        <w:pStyle w:val="3"/>
        <w:spacing w:before="0" w:beforeAutospacing="0" w:after="0" w:afterAutospacing="0" w:line="560" w:lineRule="exact"/>
        <w:ind w:firstLine="616" w:firstLineChars="200"/>
        <w:jc w:val="both"/>
        <w:rPr>
          <w:rFonts w:ascii="仿宋_GB2312" w:hAnsi="仿宋_GB2312" w:eastAsia="仿宋_GB2312" w:cs="仿宋_GB2312"/>
          <w:spacing w:val="-6"/>
          <w:kern w:val="2"/>
          <w:sz w:val="32"/>
          <w:szCs w:val="32"/>
          <w:highlight w:val="none"/>
        </w:rPr>
      </w:pPr>
    </w:p>
    <w:tbl>
      <w:tblPr>
        <w:tblStyle w:val="4"/>
        <w:tblW w:w="110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941"/>
        <w:gridCol w:w="741"/>
        <w:gridCol w:w="824"/>
        <w:gridCol w:w="2362"/>
        <w:gridCol w:w="2010"/>
        <w:gridCol w:w="2457"/>
      </w:tblGrid>
      <w:tr w14:paraId="01F1A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tblHeader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D600B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招聘单位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12B8D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招聘</w:t>
            </w:r>
          </w:p>
          <w:p w14:paraId="15715157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岗位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FF75A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招聘</w:t>
            </w:r>
          </w:p>
          <w:p w14:paraId="5724B24A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人数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5804D3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开考比例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2ABFFC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  <w:lang w:val="en-US" w:eastAsia="zh-CN"/>
              </w:rPr>
              <w:t>所需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专业要求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6B58D4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学历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  <w:lang w:val="en-US" w:eastAsia="zh-CN"/>
              </w:rPr>
              <w:t>及学位要求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5200E">
            <w:pPr>
              <w:widowControl/>
              <w:jc w:val="center"/>
              <w:rPr>
                <w:rFonts w:ascii="黑体" w:hAnsi="黑体" w:eastAsia="黑体" w:cs="黑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highlight w:val="none"/>
              </w:rPr>
              <w:t>其他要求</w:t>
            </w:r>
          </w:p>
        </w:tc>
      </w:tr>
      <w:tr w14:paraId="34AC5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C78B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嘉兴电影集团</w:t>
            </w:r>
          </w:p>
          <w:p w14:paraId="1CEE957B">
            <w:pPr>
              <w:jc w:val="center"/>
              <w:rPr>
                <w:rFonts w:hint="default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有限公司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8ADB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人事</w:t>
            </w:r>
          </w:p>
          <w:p w14:paraId="1A9E1B8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专员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85A12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F17EB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A09CA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人力资源管理、法学、工商管理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27FDA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全日制本科及以上</w:t>
            </w:r>
          </w:p>
          <w:p w14:paraId="3827C608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（学士学位及以上）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65142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中共党员（含预备党员）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；</w:t>
            </w:r>
          </w:p>
          <w:p w14:paraId="594855E4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2.初级人力资源师及以上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。</w:t>
            </w:r>
          </w:p>
        </w:tc>
      </w:tr>
      <w:tr w14:paraId="33087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4E779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嘉兴市影友广告有限公司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D4500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新媒体营销</w:t>
            </w:r>
          </w:p>
          <w:p w14:paraId="0E89FB05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专员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B55E2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0167C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D06A2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美术学类、设计学类、戏剧与影视学类、新闻传播学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类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4CCE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全日制本科及以上</w:t>
            </w:r>
          </w:p>
          <w:p w14:paraId="07CCE64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（学士学位及以上）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A6207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具备2年及以上新媒体营销工作经验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；</w:t>
            </w:r>
          </w:p>
          <w:p w14:paraId="2369B7C9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精通PR、AE等主流视频剪辑及特效软件，基本掌握制图修图软件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。</w:t>
            </w:r>
          </w:p>
        </w:tc>
      </w:tr>
      <w:tr w14:paraId="24F35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52785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2545B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企划</w:t>
            </w:r>
          </w:p>
          <w:p w14:paraId="7D75657E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专员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3DDC2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FBDD9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617B1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美术学类、设计学类、新闻传播学类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08CC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全日制本科及以上</w:t>
            </w:r>
          </w:p>
          <w:p w14:paraId="4370D459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（学士学位及以上）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2E671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具备2年及以上活动策划宣传、大型活动设计执行等相关工作经验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；</w:t>
            </w:r>
          </w:p>
          <w:p w14:paraId="008D6613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2.能够熟练使用PS、AI等软件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eastAsia="zh-CN"/>
              </w:rPr>
              <w:t>。</w:t>
            </w:r>
          </w:p>
        </w:tc>
      </w:tr>
      <w:tr w14:paraId="0DE3C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BB2A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嘉影银河影城</w:t>
            </w:r>
          </w:p>
          <w:p w14:paraId="4EA4F48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（濮院店）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3D1E">
            <w:pPr>
              <w:jc w:val="center"/>
              <w:rPr>
                <w:rFonts w:hint="default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影城经营管理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D842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E4A4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334AD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050D5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6F371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具备3年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以上连锁服务业门店独立经营管理经验</w:t>
            </w:r>
          </w:p>
        </w:tc>
      </w:tr>
      <w:tr w14:paraId="0BD2D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6B888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嘉影银河影城</w:t>
            </w:r>
          </w:p>
          <w:p w14:paraId="5E299718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嘉兴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市区4店）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7C4B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影城经营管理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1AE8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600D1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6846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E725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A9A68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具备3年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以上连锁服务业门店独立经营管理经验</w:t>
            </w:r>
          </w:p>
        </w:tc>
      </w:tr>
      <w:tr w14:paraId="4F6A1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09775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A2061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影城营运管理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D722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52B6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1:3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8701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84FF5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058F9">
            <w:pPr>
              <w:jc w:val="both"/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具备2年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sz w:val="20"/>
                <w:szCs w:val="20"/>
                <w:highlight w:val="none"/>
              </w:rPr>
              <w:t>以上服务业门店楼面管理工作经验</w:t>
            </w:r>
          </w:p>
        </w:tc>
      </w:tr>
    </w:tbl>
    <w:p w14:paraId="49DDEF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22020"/>
    <w:rsid w:val="4F005E52"/>
    <w:rsid w:val="753B59CA"/>
    <w:rsid w:val="7A63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487</Characters>
  <Lines>0</Lines>
  <Paragraphs>0</Paragraphs>
  <TotalTime>0</TotalTime>
  <ScaleCrop>false</ScaleCrop>
  <LinksUpToDate>false</LinksUpToDate>
  <CharactersWithSpaces>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2025-11-27T01:42:00Z</dcterms:created>
  <dc:creator>PC</dc:creator>
  <cp:lastModifiedBy>qib321</cp:lastModifiedBy>
  <dcterms:modified xsi:type="dcterms:W3CDTF">2025-11-27T06:53:29Z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eyJoZGlkIjoiNDJkZDc2ZGY3ZDg2OWEzMTQwMjJmMWRhMDhiM2QyMTMiLCJ1c2VySWQiOiIyODgyODgxMDIifQ==</vt:lpwstr>
  </property>
  <property fmtid="{D5CDD505-2E9C-101B-9397-08002B2CF9AE}" pid="4" name="ICV">
    <vt:lpwstr>7F1EC5A067FC4A02AB5104F4CB7C13C6_12</vt:lpwstr>
  </property>
</Properties>
</file>